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KLAUZULA INFORMACYJNA DLA OSÓB PRAWNYCH LUB JEDNOSTEK ORGANIZACYJNYCH NIEPOSIADAJĄCYCH OSOBOWOŚCI PRAWNEJ</w:t>
      </w:r>
    </w:p>
    <w:p w:rsidR="00000000" w:rsidDel="00000000" w:rsidP="00000000" w:rsidRDefault="00000000" w:rsidRPr="00000000" w14:paraId="00000002">
      <w:pPr>
        <w:spacing w:before="34" w:lineRule="auto"/>
        <w:ind w:right="-46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Informacja dotycząca przetwarzania danych osobowych</w:t>
        <w:br w:type="textWrapping"/>
        <w:t xml:space="preserve">przez Uniwersytet Warszawski</w:t>
        <w:br w:type="textWrapping"/>
        <w:t xml:space="preserve">dla reprezentantów, pełnomocników oraz członków organów spółek lub innych podmiotów współpracujących lub kontaktujących się z Uniwersytetem Warszawskim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tabs>
          <w:tab w:val="left" w:leader="none" w:pos="837"/>
        </w:tabs>
        <w:spacing w:after="0" w:line="240" w:lineRule="auto"/>
        <w:ind w:left="836" w:hanging="361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Administrator</w:t>
      </w:r>
    </w:p>
    <w:p w:rsidR="00000000" w:rsidDel="00000000" w:rsidP="00000000" w:rsidRDefault="00000000" w:rsidRPr="00000000" w14:paraId="00000004">
      <w:pPr>
        <w:widowControl w:val="0"/>
        <w:spacing w:after="0" w:before="182" w:line="240" w:lineRule="auto"/>
        <w:ind w:left="116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Administratorem danych osobowych przetwarzanych w procesie weryfikacji osiągniętych efektów uczelnia jest Uniwersytet Warszawski (UW), ul. Krakowskie Przedmieście 26/28, 00-927 Warszawa.</w:t>
      </w:r>
    </w:p>
    <w:p w:rsidR="00000000" w:rsidDel="00000000" w:rsidP="00000000" w:rsidRDefault="00000000" w:rsidRPr="00000000" w14:paraId="00000005">
      <w:pPr>
        <w:widowControl w:val="0"/>
        <w:spacing w:after="0" w:before="182" w:line="240" w:lineRule="auto"/>
        <w:ind w:left="11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 administratorem można kontaktować się: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leader="none" w:pos="1134"/>
        </w:tabs>
        <w:spacing w:after="0" w:before="181" w:line="24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listownie: Uniwersytet Warszawski, ul. Krakowskie Przedmieście 26/28, 00-927 Warszawa;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1134"/>
        </w:tabs>
        <w:spacing w:after="0" w:before="21" w:line="24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telefonicznie: 22 55 20 000.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tabs>
          <w:tab w:val="left" w:leader="none" w:pos="837"/>
        </w:tabs>
        <w:spacing w:after="240" w:before="240" w:line="240" w:lineRule="auto"/>
        <w:ind w:left="839" w:hanging="363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Inspektor Ochrony Danych (IOD)</w:t>
      </w:r>
    </w:p>
    <w:p w:rsidR="00000000" w:rsidDel="00000000" w:rsidP="00000000" w:rsidRDefault="00000000" w:rsidRPr="00000000" w14:paraId="00000009">
      <w:pPr>
        <w:widowControl w:val="0"/>
        <w:spacing w:after="0" w:before="181" w:lineRule="auto"/>
        <w:ind w:left="116" w:right="112" w:hanging="0.999999999999996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Administrator wyznaczył Inspektora Ochrony Danych, z którym można skontaktować się we wszystkich sprawach dotyczących przetwarzania danych osobowych oraz  korzystania  z praw związanych z przetwarzaniem danych osobowych pod adresem: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rtl w:val="0"/>
          </w:rPr>
          <w:t xml:space="preserve">iod@adm.uw.edu.pl.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120" w:line="240" w:lineRule="auto"/>
        <w:ind w:left="11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 zadań IOD nie należy natomiast realizacja innych spraw, jak np. udzielanie informacji związanych z realizacją i obsługą umowy.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837"/>
        </w:tabs>
        <w:spacing w:after="0" w:before="180" w:line="240" w:lineRule="auto"/>
        <w:ind w:left="836" w:hanging="361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Cel i podstawa prawna przetwarzania danych osobowych</w:t>
      </w:r>
    </w:p>
    <w:p w:rsidR="00000000" w:rsidDel="00000000" w:rsidP="00000000" w:rsidRDefault="00000000" w:rsidRPr="00000000" w14:paraId="0000000C">
      <w:pPr>
        <w:widowControl w:val="0"/>
        <w:spacing w:after="0" w:before="180" w:lineRule="auto"/>
        <w:ind w:left="115" w:right="114" w:firstLine="59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Państwa dane osobowe będą przetwarzane w następujących celach: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1134"/>
        </w:tabs>
        <w:spacing w:after="0" w:before="21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zawarcia lub wykonania umowy pomiędzy UW a podmiotem, z którym powiązana jest dana osoba lub w imieniu którego ona działa, jak również weryfikacji tego podmiotu (np. klienta, kontrahenta lub innego podmiotu kontaktującego się z Uniwersytetem Warszawskim) oraz bieżącego kontaktu z tym podmiotem – podstawę przetwarzania danych osobowych stanowi: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art. 6 ust. 1 lit. b i f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RODO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after="0" w:lineRule="auto"/>
        <w:ind w:left="426" w:right="113" w:hanging="4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realizacji czynności wynikających z powszechnie obowiązujących przepisów prawa, w szczególności w związku z wypełnianiem obowiązków wynikających z przepisów podatkowych i o rachunkowości oraz przepisów regulujących prowadzenie postępowań przez uprawnione podmioty – podstawę przetwarzania danych osobowych stanowi: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art. 6 ust. 1 lit. c RODO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1134"/>
        </w:tabs>
        <w:spacing w:after="0" w:before="21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realizacja zadania w interesie publicznym – podstawę przetwarzania danych osobowych stanowi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art. 6 ust. 1 lit. e RODO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1134"/>
        </w:tabs>
        <w:spacing w:after="0" w:before="21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ustalenia, dochodzenia lub obrony roszczeń w postępowaniu sądowym, administracyjnym lub też innym postępowaniu pozasądowym – podstawę przetwarzania danych osobowych stanowi: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art. 6 ust. 1 lit. f RODO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1134"/>
        </w:tabs>
        <w:spacing w:after="0" w:before="21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archiwalnych (dowodowych) polegających na zabezpieczeniu informacji na wypadek potrzeby udowodnienia faktów lub wykazania spełnienia obowiązku ciążącego na UW – podstawę przetwarzania danych osobowych stanowi: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art. 6 ust. 1 lit. f RODO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837"/>
        </w:tabs>
        <w:spacing w:after="0" w:before="159" w:line="240" w:lineRule="auto"/>
        <w:ind w:left="836" w:hanging="361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Odbiorcy danych</w:t>
      </w:r>
    </w:p>
    <w:p w:rsidR="00000000" w:rsidDel="00000000" w:rsidP="00000000" w:rsidRDefault="00000000" w:rsidRPr="00000000" w14:paraId="00000014">
      <w:pPr>
        <w:widowControl w:val="0"/>
        <w:spacing w:after="0" w:before="183" w:line="256" w:lineRule="auto"/>
        <w:ind w:right="11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Dostęp do danych osobowych będą posiadać pracownicy administratora, którzy muszą przetwarzać dane osobowe w związku z realizacją obowiązków służbowych.</w:t>
      </w:r>
    </w:p>
    <w:p w:rsidR="00000000" w:rsidDel="00000000" w:rsidP="00000000" w:rsidRDefault="00000000" w:rsidRPr="00000000" w14:paraId="00000015">
      <w:pPr>
        <w:widowControl w:val="0"/>
        <w:spacing w:after="0" w:before="183" w:line="256" w:lineRule="auto"/>
        <w:ind w:right="11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Dane osobowe mogą zostać ujawnione organom publicznym, instytucjom lub podmiotom trzecim uprawnionym do żądania dostępu lub otrzymania danych osobowych na podstawie obowiązujących przepisów prawa.</w:t>
      </w:r>
    </w:p>
    <w:p w:rsidR="00000000" w:rsidDel="00000000" w:rsidP="00000000" w:rsidRDefault="00000000" w:rsidRPr="00000000" w14:paraId="00000016">
      <w:pPr>
        <w:widowControl w:val="0"/>
        <w:spacing w:after="0" w:before="164" w:lineRule="auto"/>
        <w:ind w:right="112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Odbiorcami danych osobowych mogą być także podmioty, którym administrator na podstawie umowy powierzenia przetwarzania danych osobowych zleci wykonanie określonych czynności, z którymi wiąże się konieczność przetwarzania danych osobowych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before="164" w:lineRule="auto"/>
        <w:ind w:left="836" w:right="112" w:hanging="361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Okres przetwarzania danych osobowych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Okres przetwarzania danych osobowych jest uzależniony od celu w jakim dane są przetwarzane. Okres, przez który dane osobowe będą przechowywane jest obliczany w oparciu o następujące kryteria: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rachunkowe, przez okres 5 lat od początku roku następującego po roku obrotowym, w którym operacje, transakcje lub postępowanie związane z zawartą umową zostały ostatecznie zakończone, spłacone, rozliczone lub przedawnione;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podatkowe, przez okres 5 lat, licząc od końca roku kalendarzowego, w którym powstał obowiązek podatkowy wynikający z rozliczenia zawartej umowy;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zakresie realizacji przez UW czynności wynikających z powszechnie obowiązujących przepisów prawa – przez okres wynikający z tych przepisów;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zakresie wypełnienia prawnie uzasadnionych interesów UW stanowiących podstawę tego przetwarzania przez okres niezbędny do wypełnienia tego celu lub do czasu wniesienia sprzeciwu wobec takiego przetwarzania, o ile nie występują prawnie uzasadnione podstawy dalszego przetwarzania danych przez UW;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zakresie ustalenia i dochodzenia własnych roszczeń lub obrony przed zgłoszonymi roszczeniami – do momentu przedawnienia potencjalnych roszczeń wynikających z umowy lub z innego tytułu.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0" w:before="164" w:lineRule="auto"/>
        <w:ind w:left="836" w:right="112" w:hanging="361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Prawa związane z przetwarzaniem danych osobowych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right="11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Administrator gwarantuje realizację wszystkich praw związanych z przetwarzaniem danych osobowych na zasadach określonych przez RODO tj. prawo do: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284"/>
          <w:tab w:val="left" w:leader="none" w:pos="836"/>
          <w:tab w:val="left" w:leader="none" w:pos="837"/>
        </w:tabs>
        <w:spacing w:after="0" w:line="240" w:lineRule="auto"/>
        <w:ind w:left="836" w:hanging="836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dostępu do danych oraz otrzymania ich kopii;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284"/>
          <w:tab w:val="left" w:leader="none" w:pos="836"/>
          <w:tab w:val="left" w:leader="none" w:pos="837"/>
        </w:tabs>
        <w:spacing w:after="0" w:line="240" w:lineRule="auto"/>
        <w:ind w:left="836" w:hanging="836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sprostowania (poprawiania) swoich danych osobowych;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284"/>
          <w:tab w:val="left" w:leader="none" w:pos="836"/>
          <w:tab w:val="left" w:leader="none" w:pos="837"/>
        </w:tabs>
        <w:spacing w:after="0" w:line="240" w:lineRule="auto"/>
        <w:ind w:left="836" w:hanging="836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ograniczenia przetwarzania danych osobowych;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tabs>
          <w:tab w:val="left" w:leader="none" w:pos="284"/>
          <w:tab w:val="left" w:leader="none" w:pos="836"/>
          <w:tab w:val="left" w:leader="none" w:pos="837"/>
        </w:tabs>
        <w:spacing w:after="0" w:line="240" w:lineRule="auto"/>
        <w:ind w:left="836" w:hanging="836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usunięcia danych osobowych (z zastrzeżeniem art. 17 ust. 3 RODO);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tabs>
          <w:tab w:val="left" w:leader="none" w:pos="284"/>
          <w:tab w:val="left" w:leader="none" w:pos="836"/>
          <w:tab w:val="left" w:leader="none" w:pos="837"/>
        </w:tabs>
        <w:spacing w:after="0" w:line="240" w:lineRule="auto"/>
        <w:ind w:left="836" w:hanging="836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sprzeciwu;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tabs>
          <w:tab w:val="left" w:leader="none" w:pos="284"/>
          <w:tab w:val="left" w:leader="none" w:pos="1134"/>
        </w:tabs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wniesienia skargi do Prezesa Urzędu Ochrony Danych, jeżeli uznają Państwo, że przetwarzanie danych osobowych narusza przepisy prawa w zakresie ochrony danych osobowych.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tabs>
          <w:tab w:val="left" w:leader="none" w:pos="838"/>
        </w:tabs>
        <w:spacing w:after="0" w:before="120" w:line="240" w:lineRule="auto"/>
        <w:ind w:left="839" w:hanging="363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Obowiązek podania danych osobowych i konsekwencja niepodania danych</w:t>
      </w:r>
    </w:p>
    <w:p w:rsidR="00000000" w:rsidDel="00000000" w:rsidP="00000000" w:rsidRDefault="00000000" w:rsidRPr="00000000" w14:paraId="00000027">
      <w:pPr>
        <w:widowControl w:val="0"/>
        <w:spacing w:after="0" w:before="182" w:line="240" w:lineRule="auto"/>
        <w:ind w:left="116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Podanie danych osobowych jest obligatoryjne, niepodanie danych uniemożliwi realizację celów wskazanych w punkcie 3.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after="0" w:before="180" w:line="240" w:lineRule="auto"/>
        <w:ind w:left="839" w:hanging="363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Źródło pochodzenia danych osobowych</w:t>
      </w:r>
    </w:p>
    <w:p w:rsidR="00000000" w:rsidDel="00000000" w:rsidP="00000000" w:rsidRDefault="00000000" w:rsidRPr="00000000" w14:paraId="00000029">
      <w:pPr>
        <w:widowControl w:val="0"/>
        <w:spacing w:after="0" w:before="1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Dane osobowe jakie UW przetwarza, pochodzą od klienta bądź kontrahenta lub innego podmiotu kontaktującego się z UW, bądź ze źródeł powszechnie dostępnych. Kategorie danych osobowych osób powiązanych ze spółkami lub innymi podmiotami (np. członków organów tych podmiotów), w tym beneficjentów rzeczywistych, są tożsame z kategoriami pochodzącymi z publiczne dostępnych źródeł lub kategoriami przekazanymi przez klienta bądź kontrahenta UW lub przez inny podmiot kontaktujący się z UW.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134" w:left="1134" w:right="1134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 późn. zm.), dalej jako „RODO”.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line="276" w:lineRule="auto"/>
      <w:rPr>
        <w:rFonts w:ascii="Times New Roman" w:cs="Times New Roman" w:eastAsia="Times New Roman" w:hAnsi="Times New Roman"/>
        <w:sz w:val="20"/>
        <w:szCs w:val="20"/>
      </w:rPr>
    </w:pPr>
    <w:bookmarkStart w:colFirst="0" w:colLast="0" w:name="_30j0zll" w:id="1"/>
    <w:bookmarkEnd w:id="1"/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Załącznik nr 1a do umowy wykonania usługi nr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….……………………………………………………………</w:t>
    </w:r>
  </w:p>
  <w:p w:rsidR="00000000" w:rsidDel="00000000" w:rsidP="00000000" w:rsidRDefault="00000000" w:rsidRPr="00000000" w14:paraId="00000032">
    <w:pPr>
      <w:rPr>
        <w:rFonts w:ascii="Times New Roman" w:cs="Times New Roman" w:eastAsia="Times New Roman" w:hAnsi="Times New Roman"/>
        <w:color w:val="4472c4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4472c4"/>
        <w:sz w:val="20"/>
        <w:szCs w:val="20"/>
        <w:rtl w:val="0"/>
      </w:rPr>
      <w:t xml:space="preserve">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color w:val="4472c4"/>
        <w:sz w:val="20"/>
        <w:szCs w:val="20"/>
        <w:rtl w:val="0"/>
      </w:rPr>
      <w:t xml:space="preserve">(nr kolejny umowy/kod jednostki organizacyjnej UW/rok)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▪"/>
      <w:lvlJc w:val="left"/>
      <w:pPr>
        <w:ind w:left="836" w:hanging="361.00000000000006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686" w:hanging="361"/>
      </w:pPr>
      <w:rPr/>
    </w:lvl>
    <w:lvl w:ilvl="2">
      <w:start w:val="0"/>
      <w:numFmt w:val="bullet"/>
      <w:lvlText w:val="•"/>
      <w:lvlJc w:val="left"/>
      <w:pPr>
        <w:ind w:left="2533" w:hanging="361"/>
      </w:pPr>
      <w:rPr/>
    </w:lvl>
    <w:lvl w:ilvl="3">
      <w:start w:val="0"/>
      <w:numFmt w:val="bullet"/>
      <w:lvlText w:val="•"/>
      <w:lvlJc w:val="left"/>
      <w:pPr>
        <w:ind w:left="3379" w:hanging="361.00000000000045"/>
      </w:pPr>
      <w:rPr/>
    </w:lvl>
    <w:lvl w:ilvl="4">
      <w:start w:val="0"/>
      <w:numFmt w:val="bullet"/>
      <w:lvlText w:val="•"/>
      <w:lvlJc w:val="left"/>
      <w:pPr>
        <w:ind w:left="4226" w:hanging="361"/>
      </w:pPr>
      <w:rPr/>
    </w:lvl>
    <w:lvl w:ilvl="5">
      <w:start w:val="0"/>
      <w:numFmt w:val="bullet"/>
      <w:lvlText w:val="•"/>
      <w:lvlJc w:val="left"/>
      <w:pPr>
        <w:ind w:left="5073" w:hanging="361"/>
      </w:pPr>
      <w:rPr/>
    </w:lvl>
    <w:lvl w:ilvl="6">
      <w:start w:val="0"/>
      <w:numFmt w:val="bullet"/>
      <w:lvlText w:val="•"/>
      <w:lvlJc w:val="left"/>
      <w:pPr>
        <w:ind w:left="5919" w:hanging="361"/>
      </w:pPr>
      <w:rPr/>
    </w:lvl>
    <w:lvl w:ilvl="7">
      <w:start w:val="0"/>
      <w:numFmt w:val="bullet"/>
      <w:lvlText w:val="•"/>
      <w:lvlJc w:val="left"/>
      <w:pPr>
        <w:ind w:left="6766" w:hanging="361"/>
      </w:pPr>
      <w:rPr/>
    </w:lvl>
    <w:lvl w:ilvl="8">
      <w:start w:val="0"/>
      <w:numFmt w:val="bullet"/>
      <w:lvlText w:val="•"/>
      <w:lvlJc w:val="left"/>
      <w:pPr>
        <w:ind w:left="7613" w:hanging="361.0000000000009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36" w:hanging="361.00000000000006"/>
      </w:pPr>
      <w:rPr>
        <w:rFonts w:ascii="Times New Roman" w:cs="Times New Roman" w:eastAsia="Times New Roman" w:hAnsi="Times New Roman"/>
        <w:b w:val="1"/>
        <w:bCs w:val="1"/>
        <w:sz w:val="22"/>
        <w:szCs w:val="22"/>
      </w:rPr>
    </w:lvl>
    <w:lvl w:ilvl="1">
      <w:start w:val="0"/>
      <w:numFmt w:val="bullet"/>
      <w:lvlText w:val="•"/>
      <w:lvlJc w:val="left"/>
      <w:pPr>
        <w:ind w:left="1686" w:hanging="361"/>
      </w:pPr>
      <w:rPr/>
    </w:lvl>
    <w:lvl w:ilvl="2">
      <w:start w:val="0"/>
      <w:numFmt w:val="bullet"/>
      <w:lvlText w:val="•"/>
      <w:lvlJc w:val="left"/>
      <w:pPr>
        <w:ind w:left="2533" w:hanging="361"/>
      </w:pPr>
      <w:rPr/>
    </w:lvl>
    <w:lvl w:ilvl="3">
      <w:start w:val="0"/>
      <w:numFmt w:val="bullet"/>
      <w:lvlText w:val="•"/>
      <w:lvlJc w:val="left"/>
      <w:pPr>
        <w:ind w:left="3379" w:hanging="361.00000000000045"/>
      </w:pPr>
      <w:rPr/>
    </w:lvl>
    <w:lvl w:ilvl="4">
      <w:start w:val="0"/>
      <w:numFmt w:val="bullet"/>
      <w:lvlText w:val="•"/>
      <w:lvlJc w:val="left"/>
      <w:pPr>
        <w:ind w:left="4226" w:hanging="361"/>
      </w:pPr>
      <w:rPr/>
    </w:lvl>
    <w:lvl w:ilvl="5">
      <w:start w:val="0"/>
      <w:numFmt w:val="bullet"/>
      <w:lvlText w:val="•"/>
      <w:lvlJc w:val="left"/>
      <w:pPr>
        <w:ind w:left="5073" w:hanging="361"/>
      </w:pPr>
      <w:rPr/>
    </w:lvl>
    <w:lvl w:ilvl="6">
      <w:start w:val="0"/>
      <w:numFmt w:val="bullet"/>
      <w:lvlText w:val="•"/>
      <w:lvlJc w:val="left"/>
      <w:pPr>
        <w:ind w:left="5919" w:hanging="361"/>
      </w:pPr>
      <w:rPr/>
    </w:lvl>
    <w:lvl w:ilvl="7">
      <w:start w:val="0"/>
      <w:numFmt w:val="bullet"/>
      <w:lvlText w:val="•"/>
      <w:lvlJc w:val="left"/>
      <w:pPr>
        <w:ind w:left="6766" w:hanging="361"/>
      </w:pPr>
      <w:rPr/>
    </w:lvl>
    <w:lvl w:ilvl="8">
      <w:start w:val="0"/>
      <w:numFmt w:val="bullet"/>
      <w:lvlText w:val="•"/>
      <w:lvlJc w:val="left"/>
      <w:pPr>
        <w:ind w:left="7613" w:hanging="361.0000000000009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iod@adm.uw.edu.pl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